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88" w:rsidRPr="007233A3" w:rsidRDefault="000F1D88" w:rsidP="000F1D88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noProof/>
          <w:color w:val="365F91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27D09565" wp14:editId="080014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3514" cy="793640"/>
            <wp:effectExtent l="0" t="0" r="0" b="6985"/>
            <wp:wrapThrough wrapText="bothSides">
              <wp:wrapPolygon edited="0">
                <wp:start x="0" y="0"/>
                <wp:lineTo x="0" y="21271"/>
                <wp:lineTo x="21319" y="21271"/>
                <wp:lineTo x="21319" y="0"/>
                <wp:lineTo x="0" y="0"/>
              </wp:wrapPolygon>
            </wp:wrapThrough>
            <wp:docPr id="1" name="Resim 1" descr="C:\Users\pc\Downloads\WhatsApp Image 2025-12-25 at 13.0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25 at 13.05.2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14" cy="7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D88" w:rsidRPr="007233A3" w:rsidRDefault="000F1D88" w:rsidP="000F1D88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0F1D88" w:rsidRPr="007233A3" w:rsidRDefault="000F1D88" w:rsidP="0001710D">
      <w:pPr>
        <w:keepNext/>
        <w:keepLines/>
        <w:spacing w:before="240" w:line="276" w:lineRule="auto"/>
        <w:ind w:left="0" w:right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0F1D88" w:rsidRPr="007233A3" w:rsidRDefault="000F1D88" w:rsidP="000F1D88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İstatistik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Eğitiminde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Ortak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Reform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Çalıştayı</w:t>
      </w:r>
      <w:proofErr w:type="spellEnd"/>
    </w:p>
    <w:p w:rsidR="009C0EEA" w:rsidRDefault="000F1D88" w:rsidP="000F1D88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CORESTAT</w:t>
      </w:r>
    </w:p>
    <w:p w:rsidR="000626A2" w:rsidRDefault="000626A2" w:rsidP="000F1D88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30-31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Ocak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2026,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Fırat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Üniversitesi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Elazığ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Türkiye</w:t>
      </w:r>
      <w:proofErr w:type="spellEnd"/>
    </w:p>
    <w:p w:rsidR="000F1D88" w:rsidRDefault="000F1D88" w:rsidP="000F1D88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0F1D88" w:rsidRPr="000F1D88" w:rsidRDefault="009D1414" w:rsidP="000F1D88">
      <w:pPr>
        <w:pStyle w:val="ListeParagraf"/>
        <w:numPr>
          <w:ilvl w:val="0"/>
          <w:numId w:val="1"/>
        </w:numPr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Gün</w:t>
      </w:r>
      <w:proofErr w:type="spellEnd"/>
      <w:r>
        <w:rPr>
          <w:rFonts w:ascii="Cambria" w:eastAsia="MS Mincho" w:hAnsi="Cambria" w:cs="Times New Roman"/>
          <w:lang w:val="en-US"/>
        </w:rPr>
        <w:t xml:space="preserve"> – 30 </w:t>
      </w:r>
      <w:proofErr w:type="spellStart"/>
      <w:r>
        <w:rPr>
          <w:rFonts w:ascii="Cambria" w:eastAsia="MS Mincho" w:hAnsi="Cambria" w:cs="Times New Roman"/>
          <w:lang w:val="en-US"/>
        </w:rPr>
        <w:t>Ocak</w:t>
      </w:r>
      <w:proofErr w:type="spellEnd"/>
      <w:r>
        <w:rPr>
          <w:rFonts w:ascii="Cambria" w:eastAsia="MS Mincho" w:hAnsi="Cambria" w:cs="Times New Roman"/>
          <w:lang w:val="en-US"/>
        </w:rPr>
        <w:t xml:space="preserve"> 2026 (2</w:t>
      </w:r>
      <w:r w:rsidR="000F1D88" w:rsidRPr="000F1D88">
        <w:rPr>
          <w:rFonts w:ascii="Cambria" w:eastAsia="MS Mincho" w:hAnsi="Cambria" w:cs="Times New Roman"/>
          <w:lang w:val="en-US"/>
        </w:rPr>
        <w:t xml:space="preserve">. </w:t>
      </w:r>
      <w:proofErr w:type="spellStart"/>
      <w:r w:rsidR="000F1D88" w:rsidRPr="000F1D88">
        <w:rPr>
          <w:rFonts w:ascii="Cambria" w:eastAsia="MS Mincho" w:hAnsi="Cambria" w:cs="Times New Roman"/>
          <w:lang w:val="en-US"/>
        </w:rPr>
        <w:t>Oturum</w:t>
      </w:r>
      <w:proofErr w:type="spellEnd"/>
      <w:r w:rsidR="000F1D88" w:rsidRPr="000F1D88">
        <w:rPr>
          <w:rFonts w:ascii="Cambria" w:eastAsia="MS Mincho" w:hAnsi="Cambria" w:cs="Times New Roman"/>
          <w:lang w:val="en-US"/>
        </w:rPr>
        <w:t>)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076"/>
        <w:gridCol w:w="6417"/>
      </w:tblGrid>
      <w:tr w:rsidR="009D1414" w:rsidRPr="000626A2" w:rsidTr="000626A2">
        <w:trPr>
          <w:trHeight w:val="152"/>
        </w:trPr>
        <w:tc>
          <w:tcPr>
            <w:tcW w:w="9493" w:type="dxa"/>
            <w:gridSpan w:val="2"/>
            <w:shd w:val="clear" w:color="auto" w:fill="E5B8B7"/>
          </w:tcPr>
          <w:p w:rsidR="009D1414" w:rsidRPr="000626A2" w:rsidRDefault="004B32FE" w:rsidP="009D1414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Çalışma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DE6EA7">
              <w:rPr>
                <w:rFonts w:ascii="Cambria" w:hAnsi="Cambria" w:cs="Times New Roman"/>
                <w:sz w:val="18"/>
                <w:szCs w:val="18"/>
              </w:rPr>
              <w:t>Grubu-</w:t>
            </w:r>
            <w:r w:rsidR="0001710D">
              <w:rPr>
                <w:rFonts w:ascii="Cambria" w:hAnsi="Cambria" w:cs="Times New Roman"/>
                <w:sz w:val="18"/>
                <w:szCs w:val="18"/>
              </w:rPr>
              <w:t>1</w:t>
            </w:r>
            <w:r w:rsidR="009D1414" w:rsidRPr="000626A2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proofErr w:type="spellStart"/>
            <w:r w:rsidR="009D1414" w:rsidRPr="000626A2">
              <w:rPr>
                <w:rFonts w:ascii="Cambria" w:hAnsi="Cambria" w:cs="Times New Roman"/>
                <w:sz w:val="18"/>
                <w:szCs w:val="18"/>
              </w:rPr>
              <w:t>Saat</w:t>
            </w:r>
            <w:proofErr w:type="spellEnd"/>
            <w:r w:rsidR="009D1414" w:rsidRPr="000626A2">
              <w:rPr>
                <w:rFonts w:ascii="Cambria" w:hAnsi="Cambria" w:cs="Times New Roman"/>
                <w:sz w:val="18"/>
                <w:szCs w:val="18"/>
              </w:rPr>
              <w:t>: 14:00-15:00/ 15:15-16:15</w:t>
            </w:r>
          </w:p>
        </w:tc>
      </w:tr>
      <w:tr w:rsidR="0001710D" w:rsidRPr="000626A2" w:rsidTr="000626A2">
        <w:trPr>
          <w:trHeight w:val="152"/>
        </w:trPr>
        <w:tc>
          <w:tcPr>
            <w:tcW w:w="3076" w:type="dxa"/>
            <w:shd w:val="clear" w:color="auto" w:fill="E5B8B7"/>
          </w:tcPr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Ortak</w:t>
            </w:r>
            <w:proofErr w:type="spellEnd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Lisans</w:t>
            </w:r>
            <w:proofErr w:type="spellEnd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Müfredat</w:t>
            </w:r>
            <w:proofErr w:type="spellEnd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Çerçevesi</w:t>
            </w:r>
            <w:proofErr w:type="spellEnd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ve</w:t>
            </w:r>
            <w:proofErr w:type="spellEnd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Uygulama</w:t>
            </w:r>
            <w:proofErr w:type="spellEnd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233A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Önerileri</w:t>
            </w:r>
            <w:proofErr w:type="spellEnd"/>
          </w:p>
        </w:tc>
        <w:tc>
          <w:tcPr>
            <w:tcW w:w="6417" w:type="dxa"/>
            <w:shd w:val="clear" w:color="auto" w:fill="E5B8B7"/>
          </w:tcPr>
          <w:p w:rsidR="0001710D" w:rsidRPr="007233A3" w:rsidRDefault="0001710D" w:rsidP="0001710D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Moderatör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: </w:t>
            </w:r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Serpil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Aktaş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Altunay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Hacettepe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01710D" w:rsidRPr="007233A3" w:rsidRDefault="0001710D" w:rsidP="0001710D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ÇG-1 </w:t>
            </w: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Üyeler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:</w:t>
            </w:r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Fatma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Noyan</w:t>
            </w:r>
            <w:proofErr w:type="spellEnd"/>
            <w:r w:rsidR="00B26F2C">
              <w:rPr>
                <w:rFonts w:ascii="Cambria" w:hAnsi="Cambria" w:cs="Times New Roman"/>
                <w:sz w:val="18"/>
                <w:szCs w:val="18"/>
              </w:rPr>
              <w:t xml:space="preserve"> Tekeli</w:t>
            </w:r>
            <w:bookmarkStart w:id="0" w:name="_GoBack"/>
            <w:bookmarkEnd w:id="0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Yıldız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Teknik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Doç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Burcu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Mestav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Çanakkale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Onsekiz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Mart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Aylin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Alın</w:t>
            </w:r>
            <w:proofErr w:type="spellEnd"/>
          </w:p>
          <w:p w:rsidR="0001710D" w:rsidRPr="00B53409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Dokuz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Eylül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Aşır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Genç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:rsidR="0001710D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Necmettin Erbakan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01710D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</w:p>
          <w:p w:rsidR="0001710D" w:rsidRPr="007233A3" w:rsidRDefault="0001710D" w:rsidP="0001710D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Gözde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Ulutagay</w:t>
            </w:r>
            <w:proofErr w:type="spellEnd"/>
          </w:p>
          <w:p w:rsidR="0001710D" w:rsidRPr="00B53409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Ege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01710D" w:rsidRPr="007233A3" w:rsidRDefault="0001710D" w:rsidP="0001710D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0626A2" w:rsidRPr="000626A2" w:rsidTr="000626A2">
        <w:trPr>
          <w:trHeight w:val="152"/>
        </w:trPr>
        <w:tc>
          <w:tcPr>
            <w:tcW w:w="3076" w:type="dxa"/>
            <w:shd w:val="clear" w:color="auto" w:fill="auto"/>
          </w:tcPr>
          <w:p w:rsidR="000626A2" w:rsidRPr="004B32FE" w:rsidRDefault="000626A2" w:rsidP="00927724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Amaç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Kapsam</w:t>
            </w:r>
            <w:proofErr w:type="spellEnd"/>
          </w:p>
        </w:tc>
        <w:tc>
          <w:tcPr>
            <w:tcW w:w="6417" w:type="dxa"/>
            <w:shd w:val="clear" w:color="auto" w:fill="auto"/>
          </w:tcPr>
          <w:p w:rsidR="000626A2" w:rsidRPr="000626A2" w:rsidRDefault="000626A2" w:rsidP="00F46D94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  <w:u w:val="single"/>
              </w:rPr>
              <w:t>Amaç</w:t>
            </w:r>
            <w:proofErr w:type="spellEnd"/>
          </w:p>
          <w:p w:rsidR="000626A2" w:rsidRDefault="000626A2" w:rsidP="00F46D94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Türkiye’deki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bölümlerinde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yürütülen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lisans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programlarını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dikkate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alarak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asgari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ortak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müfredat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çerçevesi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oluşturmak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klasik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temeli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ile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güncel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bilimi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gereksinimleri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arasında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dengeli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yapı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önermek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farklı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üniversitelerde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uygulanabilir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esnek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lisans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müfredat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modeli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geliştirmek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</w:t>
            </w:r>
          </w:p>
          <w:p w:rsidR="0096374C" w:rsidRPr="000626A2" w:rsidRDefault="0096374C" w:rsidP="00F46D94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0626A2" w:rsidRPr="000626A2" w:rsidRDefault="000626A2" w:rsidP="00F46D94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  <w:u w:val="single"/>
              </w:rPr>
              <w:t>Kapsam</w:t>
            </w:r>
            <w:proofErr w:type="spellEnd"/>
          </w:p>
          <w:p w:rsidR="000626A2" w:rsidRPr="000626A2" w:rsidRDefault="000626A2" w:rsidP="00F46D94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0626A2">
              <w:rPr>
                <w:rFonts w:ascii="Cambria" w:hAnsi="Cambria"/>
                <w:sz w:val="18"/>
                <w:szCs w:val="18"/>
              </w:rPr>
              <w:t xml:space="preserve">Bu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çalışma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grubu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:</w:t>
            </w:r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Mevcut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lisans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müfredatlarını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karşılaştırmalı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olarak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ele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alır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,</w:t>
            </w:r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Ortak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ayrıştırıcı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dersleri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belirler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,</w:t>
            </w:r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Müfredatta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zorunlu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–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seçmeli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teorik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–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uygulamalı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ders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dengesini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tartışır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,</w:t>
            </w:r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çerçevenin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kurumsal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farklılıklara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uyarlanabilirliğini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gözetir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</w:t>
            </w:r>
          </w:p>
          <w:p w:rsidR="004B32FE" w:rsidRDefault="004B32FE" w:rsidP="00F46D94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0626A2" w:rsidRDefault="004B32FE" w:rsidP="00F46D94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Not: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Çalışma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grubu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tek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 tip program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önermekten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ziyade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ortak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çekirdek</w:t>
            </w:r>
            <w:proofErr w:type="spellEnd"/>
            <w:r w:rsidR="000626A2" w:rsidRPr="000626A2">
              <w:rPr>
                <w:rFonts w:ascii="Cambria" w:hAnsi="Cambria"/>
                <w:sz w:val="18"/>
                <w:szCs w:val="18"/>
              </w:rPr>
              <w:t xml:space="preserve"> + </w:t>
            </w:r>
            <w:proofErr w:type="spellStart"/>
            <w:r w:rsidR="000626A2" w:rsidRPr="000626A2">
              <w:rPr>
                <w:rFonts w:ascii="Cambria" w:hAnsi="Cambria"/>
                <w:sz w:val="18"/>
                <w:szCs w:val="18"/>
              </w:rPr>
              <w:t>e</w:t>
            </w:r>
            <w:r>
              <w:rPr>
                <w:rFonts w:ascii="Cambria" w:hAnsi="Cambria"/>
                <w:sz w:val="18"/>
                <w:szCs w:val="18"/>
              </w:rPr>
              <w:t>snek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yapı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yaklaşımını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esas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alabilir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YÖK’teki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son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gelişmeler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ışığında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fen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fakültelerinin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mühendislik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doğa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bilimleri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fakülteleri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olarak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konumlandırılması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buna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bağlı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olarak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bölüm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isimlerinin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değişmesi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veya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korunması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staj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zorunluluğu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üniversitelerin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yılda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mezun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vermesi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gibi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konular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ele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alınabilir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öneriler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bu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doğrultuda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şekillenebilir</w:t>
            </w:r>
            <w:proofErr w:type="spellEnd"/>
            <w:r w:rsidR="0096374C">
              <w:rPr>
                <w:rFonts w:ascii="Cambria" w:hAnsi="Cambria"/>
                <w:sz w:val="18"/>
                <w:szCs w:val="18"/>
              </w:rPr>
              <w:t>.</w:t>
            </w:r>
          </w:p>
          <w:p w:rsidR="0096374C" w:rsidRPr="0096374C" w:rsidRDefault="0096374C" w:rsidP="0096374C">
            <w:pPr>
              <w:ind w:left="28"/>
              <w:rPr>
                <w:rFonts w:ascii="Cambria" w:hAnsi="Cambria"/>
                <w:sz w:val="18"/>
                <w:szCs w:val="18"/>
              </w:rPr>
            </w:pPr>
          </w:p>
        </w:tc>
      </w:tr>
      <w:tr w:rsidR="000626A2" w:rsidRPr="000626A2" w:rsidTr="000626A2">
        <w:trPr>
          <w:trHeight w:val="152"/>
        </w:trPr>
        <w:tc>
          <w:tcPr>
            <w:tcW w:w="3076" w:type="dxa"/>
            <w:shd w:val="clear" w:color="auto" w:fill="auto"/>
          </w:tcPr>
          <w:p w:rsidR="000626A2" w:rsidRPr="004B32FE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</w:p>
          <w:p w:rsidR="000626A2" w:rsidRPr="000626A2" w:rsidRDefault="000626A2" w:rsidP="00927724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  <w:tc>
          <w:tcPr>
            <w:tcW w:w="6417" w:type="dxa"/>
            <w:shd w:val="clear" w:color="auto" w:fill="auto"/>
          </w:tcPr>
          <w:p w:rsidR="000626A2" w:rsidRPr="000626A2" w:rsidRDefault="000626A2" w:rsidP="00F46D94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Çalışma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grubu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sonunda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aşağıdaki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somut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elde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edilmesi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hedeflenmektedir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:</w:t>
            </w:r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Ortak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Çekirdek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Müfredat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Çerçevesi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Tüm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İstatistik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Bölümleri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asgari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zorunlu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dersler</w:t>
            </w:r>
            <w:proofErr w:type="spellEnd"/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Seçmeli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Ders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Havuzu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bilimi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uygulamalı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odaklı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seçmeli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dersler</w:t>
            </w:r>
            <w:proofErr w:type="spellEnd"/>
          </w:p>
          <w:p w:rsidR="000626A2" w:rsidRPr="000626A2" w:rsidRDefault="000626A2" w:rsidP="00F46D9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Yazılım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Becerileri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Çerçevesi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Mezuniyet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öncesi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kazanılması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gereken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temel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yazılım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yetkinlikleri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içi</w:t>
            </w:r>
            <w:r w:rsidR="0001710D">
              <w:rPr>
                <w:rFonts w:ascii="Cambria" w:hAnsi="Cambria"/>
                <w:sz w:val="18"/>
                <w:szCs w:val="18"/>
              </w:rPr>
              <w:t>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gerekli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dersler</w:t>
            </w:r>
            <w:proofErr w:type="spellEnd"/>
          </w:p>
          <w:p w:rsidR="000626A2" w:rsidRPr="0096374C" w:rsidRDefault="000626A2" w:rsidP="00F46D9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Müfredat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geçiş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süreci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öneriler</w:t>
            </w:r>
            <w:proofErr w:type="spellEnd"/>
          </w:p>
        </w:tc>
      </w:tr>
      <w:tr w:rsidR="000626A2" w:rsidRPr="000626A2" w:rsidTr="000626A2">
        <w:trPr>
          <w:trHeight w:val="612"/>
        </w:trPr>
        <w:tc>
          <w:tcPr>
            <w:tcW w:w="9493" w:type="dxa"/>
            <w:gridSpan w:val="2"/>
            <w:shd w:val="clear" w:color="auto" w:fill="auto"/>
          </w:tcPr>
          <w:p w:rsidR="000626A2" w:rsidRPr="004B32FE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lastRenderedPageBreak/>
              <w:t>Raportör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Raporu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İlgili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bölümler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gerektiği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kadar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uzatılabilir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(Bu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bölümde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içinde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yapılan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tartışmalar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üyelerinin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isimleri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F46D94">
              <w:rPr>
                <w:rFonts w:ascii="Cambria" w:hAnsi="Cambria"/>
                <w:sz w:val="18"/>
                <w:szCs w:val="18"/>
              </w:rPr>
              <w:t>ile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özetlenmelidir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Pr="000626A2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Pr="000626A2" w:rsidRDefault="000626A2" w:rsidP="00F46D94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F46D94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çıktılarla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ilgili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alınan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kararları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Pr="000626A2" w:rsidRDefault="00F46D94" w:rsidP="00F46D94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 w:rsidR="00F46D94">
              <w:rPr>
                <w:rFonts w:ascii="Cambria" w:hAnsi="Cambria"/>
                <w:sz w:val="18"/>
                <w:szCs w:val="18"/>
              </w:rPr>
              <w:t>.</w:t>
            </w:r>
          </w:p>
          <w:p w:rsid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Pr="000626A2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Pr="000626A2" w:rsidRDefault="000626A2" w:rsidP="00F46D94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uzlaşılamayan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kalan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46D94">
              <w:rPr>
                <w:rFonts w:ascii="Cambria" w:hAnsi="Cambria"/>
                <w:sz w:val="18"/>
                <w:szCs w:val="18"/>
              </w:rPr>
              <w:t>.</w:t>
            </w:r>
            <w:proofErr w:type="gramEnd"/>
          </w:p>
          <w:p w:rsid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Pr="000626A2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Pr="000626A2" w:rsidRDefault="000626A2" w:rsidP="00F46D94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Geçiş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süreci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altyapı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gereksinimleri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kurumsal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uyarlamalar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burada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belirtilmelidir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F46D94" w:rsidRPr="000626A2" w:rsidRDefault="00F46D94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Pr="000626A2" w:rsidRDefault="000626A2" w:rsidP="00F46D94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</w:tbl>
    <w:p w:rsidR="000F1D88" w:rsidRDefault="000F1D88" w:rsidP="000F1D88"/>
    <w:p w:rsidR="002A56DB" w:rsidRDefault="002A56DB" w:rsidP="002A56DB"/>
    <w:p w:rsidR="002A56DB" w:rsidRDefault="002A56DB" w:rsidP="002A56DB"/>
    <w:p w:rsidR="002A56DB" w:rsidRDefault="002A56DB" w:rsidP="002A56DB"/>
    <w:sectPr w:rsidR="002A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0867"/>
    <w:multiLevelType w:val="hybridMultilevel"/>
    <w:tmpl w:val="ED2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6EE2"/>
    <w:multiLevelType w:val="hybridMultilevel"/>
    <w:tmpl w:val="25441D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125E"/>
    <w:multiLevelType w:val="hybridMultilevel"/>
    <w:tmpl w:val="8E5264BA"/>
    <w:lvl w:ilvl="0" w:tplc="041F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369E1296"/>
    <w:multiLevelType w:val="hybridMultilevel"/>
    <w:tmpl w:val="FD30AA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6345E"/>
    <w:multiLevelType w:val="hybridMultilevel"/>
    <w:tmpl w:val="AECAF9F2"/>
    <w:lvl w:ilvl="0" w:tplc="7A14EB4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50172B7"/>
    <w:multiLevelType w:val="hybridMultilevel"/>
    <w:tmpl w:val="3CC82D9A"/>
    <w:lvl w:ilvl="0" w:tplc="041F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88"/>
    <w:rsid w:val="0001710D"/>
    <w:rsid w:val="000626A2"/>
    <w:rsid w:val="000F1D88"/>
    <w:rsid w:val="002A56DB"/>
    <w:rsid w:val="003329F0"/>
    <w:rsid w:val="004B32FE"/>
    <w:rsid w:val="005471D7"/>
    <w:rsid w:val="00617EC2"/>
    <w:rsid w:val="0096374C"/>
    <w:rsid w:val="009C0EEA"/>
    <w:rsid w:val="009D1414"/>
    <w:rsid w:val="00B26F2C"/>
    <w:rsid w:val="00DE6EA7"/>
    <w:rsid w:val="00F4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1396"/>
  <w15:chartTrackingRefBased/>
  <w15:docId w15:val="{8168E16A-BF1E-46D9-9E8E-59961381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ind w:left="28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88"/>
    <w:pPr>
      <w:spacing w:after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D88"/>
    <w:pPr>
      <w:ind w:left="720"/>
      <w:contextualSpacing/>
    </w:pPr>
  </w:style>
  <w:style w:type="table" w:styleId="TabloKlavuzu">
    <w:name w:val="Table Grid"/>
    <w:basedOn w:val="NormalTablo"/>
    <w:uiPriority w:val="59"/>
    <w:rsid w:val="000F1D88"/>
    <w:pPr>
      <w:spacing w:after="0"/>
      <w:ind w:left="0" w:right="0"/>
      <w:jc w:val="left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Esra</dc:creator>
  <cp:keywords/>
  <dc:description/>
  <cp:lastModifiedBy>Dr. Esra </cp:lastModifiedBy>
  <cp:revision>8</cp:revision>
  <dcterms:created xsi:type="dcterms:W3CDTF">2026-01-07T12:24:00Z</dcterms:created>
  <dcterms:modified xsi:type="dcterms:W3CDTF">2026-01-09T11:36:00Z</dcterms:modified>
</cp:coreProperties>
</file>